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187 x 189 x 298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4007841081973</w:t>
      </w:r>
      <w:br/>
      <w:r>
        <w:rPr/>
        <w:t xml:space="preserve">• Applications: Extérieur</w:t>
      </w:r>
      <w:br/>
      <w:r>
        <w:rPr/>
        <w:t xml:space="preserve">• Emplacement, pièce: extérieur, Cour et allée, tout autour du bâtiment, terrasse / balcon, entrée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PC structurée</w:t>
      </w:r>
      <w:br/>
      <w:r>
        <w:rPr/>
        <w:t xml:space="preserve">• Tension d'alimentation détails: solaire, indépend. du réseau, Batterie lithium-phosphate de fer 3000 mAh</w:t>
      </w:r>
      <w:br/>
      <w:r>
        <w:rPr/>
        <w:t xml:space="preserve">• Hauteur de montage max.: 2,00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2 m (5 m²)</w:t>
      </w:r>
      <w:br/>
      <w:r>
        <w:rPr/>
        <w:t xml:space="preserve">• Portée tangentielle: r = 8 m (78 m²)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081973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L-S ONE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2026-04-14T01:00:26+02:00</dcterms:created>
  <dcterms:modified xsi:type="dcterms:W3CDTF">2026-04-14T01:00:26+02:00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